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Default="00900981" w:rsidP="005B2BE1">
      <w:pPr>
        <w:rPr>
          <w:sz w:val="28"/>
          <w:szCs w:val="28"/>
          <w:u w:val="single"/>
        </w:rPr>
      </w:pPr>
      <w:r w:rsidRPr="00900981">
        <w:rPr>
          <w:bCs/>
          <w:sz w:val="28"/>
          <w:szCs w:val="28"/>
          <w:u w:val="single"/>
        </w:rPr>
        <w:t>19.09.2017</w:t>
      </w:r>
      <w:r w:rsidR="005B2BE1" w:rsidRPr="00900981">
        <w:rPr>
          <w:bCs/>
          <w:sz w:val="28"/>
          <w:szCs w:val="28"/>
        </w:rPr>
        <w:t xml:space="preserve"> </w:t>
      </w:r>
      <w:r w:rsidR="005B2BE1">
        <w:rPr>
          <w:b/>
          <w:bCs/>
          <w:sz w:val="28"/>
          <w:szCs w:val="28"/>
        </w:rPr>
        <w:t xml:space="preserve">    </w:t>
      </w:r>
      <w:r w:rsidR="0060180C">
        <w:rPr>
          <w:b/>
          <w:bCs/>
          <w:sz w:val="28"/>
          <w:szCs w:val="28"/>
        </w:rPr>
        <w:t xml:space="preserve">   </w:t>
      </w:r>
      <w:r w:rsidR="005B2BE1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="0025247B">
        <w:rPr>
          <w:b/>
          <w:bCs/>
          <w:sz w:val="28"/>
          <w:szCs w:val="28"/>
        </w:rPr>
        <w:t xml:space="preserve"> </w:t>
      </w:r>
      <w:r w:rsidR="005B2BE1" w:rsidRPr="00AB68C5">
        <w:rPr>
          <w:sz w:val="28"/>
          <w:szCs w:val="28"/>
        </w:rPr>
        <w:t>№</w:t>
      </w:r>
      <w:r w:rsidRPr="00900981">
        <w:rPr>
          <w:sz w:val="28"/>
          <w:szCs w:val="28"/>
          <w:u w:val="single"/>
        </w:rPr>
        <w:t>226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370F20">
        <w:rPr>
          <w:sz w:val="28"/>
          <w:szCs w:val="28"/>
        </w:rPr>
        <w:t>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25247B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845">
        <w:rPr>
          <w:sz w:val="28"/>
          <w:szCs w:val="28"/>
        </w:rPr>
        <w:t>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900981" w:rsidP="000B2F24">
      <w:pPr>
        <w:ind w:left="10620"/>
        <w:jc w:val="both"/>
        <w:rPr>
          <w:lang w:val="ru-RU"/>
        </w:rPr>
      </w:pPr>
      <w:r w:rsidRPr="00900981">
        <w:rPr>
          <w:u w:val="single"/>
        </w:rPr>
        <w:t>19.09.2017</w:t>
      </w:r>
      <w: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Pr="00900981">
        <w:rPr>
          <w:u w:val="single"/>
        </w:rPr>
        <w:t>226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</w:t>
      </w:r>
      <w:r w:rsidR="0025247B" w:rsidRPr="002524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 w:rsidR="0025247B" w:rsidRPr="002524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кварталі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5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хід виконання заходів по підготовці житлово-комунального господарства та соціальної сфери міста до робо</w:t>
            </w:r>
            <w:r>
              <w:rPr>
                <w:sz w:val="26"/>
                <w:szCs w:val="26"/>
              </w:rPr>
              <w:t>ти в осінньо-зимовий період 2017-201</w:t>
            </w:r>
            <w:r w:rsidR="003676AD">
              <w:rPr>
                <w:sz w:val="26"/>
                <w:szCs w:val="26"/>
              </w:rPr>
              <w:t>8</w:t>
            </w:r>
            <w:r w:rsidRPr="00381C59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оку</w:t>
            </w:r>
            <w:r w:rsidR="003676AD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25247B" w:rsidRDefault="0025247B" w:rsidP="002479B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3676AD"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 xml:space="preserve">дарства та благоустрою міської ради, </w:t>
            </w:r>
            <w:r w:rsidR="003676AD">
              <w:rPr>
                <w:sz w:val="22"/>
                <w:szCs w:val="22"/>
              </w:rPr>
              <w:t xml:space="preserve">Денисовець Ю.М., 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 w:rsidR="003676AD">
              <w:rPr>
                <w:sz w:val="22"/>
                <w:szCs w:val="22"/>
              </w:rPr>
              <w:t>ності виконавчих органів ради, к</w:t>
            </w:r>
            <w:r w:rsidRPr="0025247B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25247B" w:rsidRPr="0025247B" w:rsidRDefault="0025247B" w:rsidP="00FB0F2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2479BA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Про організацію матеріально-технічного забезпечення та фінансову діяльність закладів </w:t>
            </w:r>
            <w:r w:rsidR="002479BA">
              <w:rPr>
                <w:sz w:val="26"/>
                <w:szCs w:val="26"/>
              </w:rPr>
              <w:t xml:space="preserve">освіти і </w:t>
            </w:r>
            <w:r w:rsidRPr="00381C59">
              <w:rPr>
                <w:sz w:val="26"/>
                <w:szCs w:val="26"/>
              </w:rPr>
              <w:t>культури, які належать територіальній громаді</w:t>
            </w:r>
            <w:r w:rsidR="002479BA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2479BA" w:rsidRDefault="0025247B" w:rsidP="002479BA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 xml:space="preserve">Денисовець Ю.М. – заступник міського голови з питань діяльності виконавчих органів ради; </w:t>
            </w:r>
            <w:r w:rsidR="002479BA" w:rsidRPr="002479BA">
              <w:rPr>
                <w:sz w:val="22"/>
                <w:szCs w:val="22"/>
              </w:rPr>
              <w:t>Вдовенко С.Ю. – заступник начальника відділу освіти, молоді та спорту міської ради, Хмельова О.Л. – начальник відділу культури та туризму міської ради, 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2479BA" w:rsidRDefault="0025247B" w:rsidP="00FB0F2A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звіт щодо виконання мі</w:t>
            </w:r>
            <w:r w:rsidR="002479BA">
              <w:rPr>
                <w:sz w:val="26"/>
                <w:szCs w:val="26"/>
              </w:rPr>
              <w:t>ського бюджету за 9 місяців 2017</w:t>
            </w:r>
            <w:r w:rsidRPr="00381C59">
              <w:rPr>
                <w:sz w:val="26"/>
                <w:szCs w:val="26"/>
              </w:rPr>
              <w:t xml:space="preserve"> року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D548B2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виконання Програми</w:t>
            </w:r>
            <w:r w:rsidR="00D548B2">
              <w:rPr>
                <w:sz w:val="26"/>
                <w:szCs w:val="26"/>
              </w:rPr>
              <w:t xml:space="preserve"> </w:t>
            </w:r>
            <w:r w:rsidRPr="00381C59">
              <w:rPr>
                <w:sz w:val="26"/>
                <w:szCs w:val="26"/>
              </w:rPr>
              <w:t>економічного</w:t>
            </w:r>
            <w:r w:rsidR="00D548B2">
              <w:rPr>
                <w:sz w:val="26"/>
                <w:szCs w:val="26"/>
              </w:rPr>
              <w:t xml:space="preserve"> та соціального</w:t>
            </w:r>
            <w:r w:rsidRPr="00381C59">
              <w:rPr>
                <w:sz w:val="26"/>
                <w:szCs w:val="26"/>
              </w:rPr>
              <w:t xml:space="preserve"> розвитку </w:t>
            </w:r>
            <w:r w:rsidR="00D548B2">
              <w:rPr>
                <w:sz w:val="26"/>
                <w:szCs w:val="26"/>
              </w:rPr>
              <w:t xml:space="preserve">населених пунктів Коростишівської міської ради </w:t>
            </w:r>
            <w:r w:rsidRPr="00381C59">
              <w:rPr>
                <w:sz w:val="26"/>
                <w:szCs w:val="26"/>
              </w:rPr>
              <w:t>на 201</w:t>
            </w:r>
            <w:r w:rsidR="00D548B2">
              <w:rPr>
                <w:sz w:val="26"/>
                <w:szCs w:val="26"/>
              </w:rPr>
              <w:t>7</w:t>
            </w:r>
            <w:r w:rsidRPr="00381C59">
              <w:rPr>
                <w:sz w:val="26"/>
                <w:szCs w:val="26"/>
              </w:rPr>
              <w:t xml:space="preserve"> рік за підсумками 9-ти місяців поточного року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25247B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 xml:space="preserve">дарства та благоустрою міської ради, </w:t>
            </w:r>
            <w:r w:rsidR="0025247B" w:rsidRPr="00D548B2">
              <w:rPr>
                <w:sz w:val="22"/>
                <w:szCs w:val="22"/>
              </w:rPr>
              <w:t>Денисовець Ю.М.</w:t>
            </w:r>
            <w:r w:rsidRPr="00D548B2">
              <w:rPr>
                <w:sz w:val="22"/>
                <w:szCs w:val="22"/>
              </w:rPr>
              <w:t>, Лукомський М.Ю.</w:t>
            </w:r>
            <w:r w:rsidR="0025247B"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ради;</w:t>
            </w:r>
            <w:r w:rsidR="0025247B" w:rsidRPr="00381C59">
              <w:rPr>
                <w:sz w:val="26"/>
                <w:szCs w:val="26"/>
              </w:rPr>
              <w:t xml:space="preserve"> </w:t>
            </w: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стан розрахунків за житлово-комунальні послуги населенням міста та іншими споживачами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25247B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ради, к</w:t>
            </w:r>
            <w:r w:rsidR="0025247B" w:rsidRPr="00D548B2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548B2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Про участь підприємств, організацій, установ усіх форм власності та населення </w:t>
            </w:r>
            <w:r>
              <w:rPr>
                <w:sz w:val="26"/>
                <w:szCs w:val="26"/>
              </w:rPr>
              <w:t xml:space="preserve">населених пунктів </w:t>
            </w:r>
            <w:r w:rsidRPr="00381C59">
              <w:rPr>
                <w:sz w:val="26"/>
                <w:szCs w:val="26"/>
              </w:rPr>
              <w:t>в очищенні вулиць, площ, парків, скверів, прибудинкових та інших територій від снігу під час снігопад</w:t>
            </w:r>
            <w:r>
              <w:rPr>
                <w:sz w:val="26"/>
                <w:szCs w:val="26"/>
              </w:rPr>
              <w:t>ів в осінньо-зимовий період 2017-2018</w:t>
            </w:r>
            <w:r w:rsidRPr="00381C59">
              <w:rPr>
                <w:sz w:val="26"/>
                <w:szCs w:val="26"/>
              </w:rPr>
              <w:t xml:space="preserve"> років</w:t>
            </w:r>
            <w:r w:rsidR="00FB0F2A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548B2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організацію роботи щодо запобігання бездоглядності неповнолітніх на території міської територіальної громади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548B2" w:rsidRPr="00D548B2" w:rsidRDefault="00D548B2" w:rsidP="00FB0F2A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D548B2" w:rsidRPr="006464EA" w:rsidTr="00D73495">
        <w:trPr>
          <w:trHeight w:val="491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затверджен</w:t>
            </w:r>
            <w:r>
              <w:rPr>
                <w:color w:val="000000"/>
                <w:sz w:val="26"/>
                <w:szCs w:val="26"/>
              </w:rPr>
              <w:t>ня граничних норм витрат на 2018</w:t>
            </w:r>
            <w:r w:rsidRPr="00381C59">
              <w:rPr>
                <w:color w:val="000000"/>
                <w:sz w:val="26"/>
                <w:szCs w:val="26"/>
              </w:rPr>
              <w:t xml:space="preserve"> рік на копіювання або друк документів, що надаються за запитом на інформацію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Яковенко Є.П. – начальник фінансово-господарського відділу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D548B2" w:rsidRDefault="00D548B2" w:rsidP="00FB0F2A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Яковенко Є.П. – начальник фінансово-господарського відділу міської ради</w:t>
            </w:r>
          </w:p>
        </w:tc>
      </w:tr>
      <w:tr w:rsidR="00D548B2" w:rsidRPr="006464EA" w:rsidTr="00D73495">
        <w:trPr>
          <w:trHeight w:val="495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z w:val="26"/>
                <w:szCs w:val="26"/>
              </w:rPr>
              <w:t xml:space="preserve"> проект міського бюджету на 2018</w:t>
            </w:r>
            <w:r w:rsidRPr="00381C59">
              <w:rPr>
                <w:color w:val="000000"/>
                <w:sz w:val="26"/>
                <w:szCs w:val="26"/>
              </w:rPr>
              <w:t xml:space="preserve"> рік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D548B2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D548B2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 xml:space="preserve">Про проект Програми </w:t>
            </w:r>
            <w:r w:rsidR="0021503F" w:rsidRPr="00381C59">
              <w:rPr>
                <w:sz w:val="26"/>
                <w:szCs w:val="26"/>
              </w:rPr>
              <w:t>економічного</w:t>
            </w:r>
            <w:r w:rsidR="0021503F">
              <w:rPr>
                <w:sz w:val="26"/>
                <w:szCs w:val="26"/>
              </w:rPr>
              <w:t xml:space="preserve"> та соціального</w:t>
            </w:r>
            <w:r w:rsidR="0021503F" w:rsidRPr="00381C59">
              <w:rPr>
                <w:sz w:val="26"/>
                <w:szCs w:val="26"/>
              </w:rPr>
              <w:t xml:space="preserve"> розвитку </w:t>
            </w:r>
            <w:r w:rsidR="0021503F">
              <w:rPr>
                <w:sz w:val="26"/>
                <w:szCs w:val="26"/>
              </w:rPr>
              <w:t xml:space="preserve">населених пунктів Коростишівської міської ради </w:t>
            </w:r>
            <w:r w:rsidR="0021503F" w:rsidRPr="00381C59">
              <w:rPr>
                <w:sz w:val="26"/>
                <w:szCs w:val="26"/>
              </w:rPr>
              <w:t>на 201</w:t>
            </w:r>
            <w:r w:rsidR="0021503F">
              <w:rPr>
                <w:sz w:val="26"/>
                <w:szCs w:val="26"/>
              </w:rPr>
              <w:t>8</w:t>
            </w:r>
            <w:r w:rsidR="0021503F" w:rsidRPr="00381C59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381C59" w:rsidRDefault="00FB0F2A" w:rsidP="00FB0F2A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 w:rsidR="00D73495">
              <w:rPr>
                <w:sz w:val="22"/>
                <w:szCs w:val="22"/>
              </w:rPr>
              <w:t>-во-комунального госпо</w:t>
            </w:r>
            <w:r w:rsidRPr="00D548B2">
              <w:rPr>
                <w:sz w:val="22"/>
                <w:szCs w:val="22"/>
              </w:rPr>
              <w:t>дарства та благоустрою міської ради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Денисовець Ю.М., 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>ності виконавчих органів ради, к</w:t>
            </w:r>
            <w:r w:rsidRPr="0025247B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FB0F2A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господарства та благоустрою </w:t>
            </w:r>
            <w:r w:rsidRPr="0025247B">
              <w:rPr>
                <w:sz w:val="22"/>
                <w:szCs w:val="22"/>
              </w:rPr>
              <w:lastRenderedPageBreak/>
              <w:t>міської ради</w:t>
            </w:r>
          </w:p>
        </w:tc>
      </w:tr>
      <w:tr w:rsidR="00D548B2" w:rsidRPr="006464EA" w:rsidTr="00D73495">
        <w:trPr>
          <w:trHeight w:val="510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FB0F2A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роботу комісії з контролю здійсненням пасажирських перевезень на автобусних маршрутах загального користування на території Коростишівсь</w:t>
            </w:r>
            <w:r w:rsidR="00D73495">
              <w:rPr>
                <w:color w:val="000000"/>
                <w:sz w:val="26"/>
                <w:szCs w:val="26"/>
              </w:rPr>
              <w:t>-</w:t>
            </w:r>
            <w:r w:rsidRPr="00381C59">
              <w:rPr>
                <w:color w:val="000000"/>
                <w:sz w:val="26"/>
                <w:szCs w:val="26"/>
              </w:rPr>
              <w:t xml:space="preserve">кої міської ради 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FB0F2A" w:rsidRDefault="00D548B2" w:rsidP="00CA3926">
            <w:pPr>
              <w:rPr>
                <w:sz w:val="22"/>
                <w:szCs w:val="22"/>
              </w:rPr>
            </w:pPr>
            <w:r w:rsidRPr="00FB0F2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548B2" w:rsidRPr="00FB0F2A" w:rsidRDefault="00D548B2" w:rsidP="00CA3926">
            <w:pPr>
              <w:rPr>
                <w:sz w:val="22"/>
                <w:szCs w:val="22"/>
              </w:rPr>
            </w:pPr>
            <w:r w:rsidRPr="00FB0F2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D73495" w:rsidRPr="006464EA" w:rsidTr="00D73495">
        <w:trPr>
          <w:trHeight w:val="540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rPr>
          <w:trHeight w:val="542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rPr>
          <w:trHeight w:val="724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492E2A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надання дозволу на </w:t>
            </w:r>
            <w:r w:rsidR="00492E2A">
              <w:rPr>
                <w:sz w:val="26"/>
                <w:szCs w:val="26"/>
              </w:rPr>
              <w:t>розробку містобудівних умов та обмежень для проектування об’єктів</w:t>
            </w:r>
            <w:r w:rsidRPr="00824BB4">
              <w:rPr>
                <w:sz w:val="26"/>
                <w:szCs w:val="26"/>
              </w:rPr>
              <w:t xml:space="preserve">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492E2A" w:rsidP="004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Загоровська Т.В. </w:t>
            </w:r>
            <w:r w:rsidR="00D73495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відділу архітектури та містобудування</w:t>
            </w:r>
            <w:r w:rsidR="00D73495" w:rsidRPr="00F0722E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492E2A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rPr>
          <w:trHeight w:val="474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встановлення зручного для населення режиму роботи суб’єктів тимчасової торгівельної діяльності </w:t>
            </w:r>
            <w:r w:rsidRPr="00824BB4">
              <w:rPr>
                <w:sz w:val="26"/>
                <w:szCs w:val="26"/>
              </w:rPr>
              <w:lastRenderedPageBreak/>
              <w:t>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lastRenderedPageBreak/>
              <w:t xml:space="preserve">Згідно поданих заяв </w:t>
            </w:r>
            <w:r w:rsidRPr="00AF4F70">
              <w:rPr>
                <w:sz w:val="22"/>
                <w:szCs w:val="22"/>
              </w:rPr>
              <w:lastRenderedPageBreak/>
              <w:t>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lastRenderedPageBreak/>
              <w:t xml:space="preserve">Коваленко В.В.- керуючий справами виконавчого комітету </w:t>
            </w:r>
            <w:r w:rsidRPr="00F0722E">
              <w:rPr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lastRenderedPageBreak/>
              <w:t xml:space="preserve">Коваленко В.В.- керуючий справами виконавчого комітету </w:t>
            </w:r>
            <w:r w:rsidRPr="00F0722E">
              <w:rPr>
                <w:sz w:val="22"/>
                <w:szCs w:val="22"/>
              </w:rPr>
              <w:lastRenderedPageBreak/>
              <w:t>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проектно-кошторисних доку</w:t>
            </w:r>
            <w:r w:rsidR="007E3474">
              <w:rPr>
                <w:sz w:val="26"/>
                <w:szCs w:val="26"/>
              </w:rPr>
              <w:t>-</w:t>
            </w:r>
            <w:r w:rsidRPr="00824BB4">
              <w:rPr>
                <w:sz w:val="26"/>
                <w:szCs w:val="26"/>
              </w:rPr>
              <w:t>ментацій на п</w:t>
            </w:r>
            <w:r w:rsidR="007E3474">
              <w:rPr>
                <w:sz w:val="26"/>
                <w:szCs w:val="26"/>
              </w:rPr>
              <w:t xml:space="preserve">роведення робіт по капітальному </w:t>
            </w:r>
            <w:r w:rsidRPr="00824BB4">
              <w:rPr>
                <w:sz w:val="26"/>
                <w:szCs w:val="26"/>
              </w:rPr>
              <w:t>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 w:rsidR="007E3474"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73495" w:rsidRPr="00824BB4" w:rsidRDefault="00D73495" w:rsidP="008850F1">
            <w:pPr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 w:rsidR="007E3474"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99281A" w:rsidRDefault="00D73495" w:rsidP="008850F1">
            <w:pPr>
              <w:jc w:val="both"/>
              <w:rPr>
                <w:sz w:val="26"/>
                <w:szCs w:val="26"/>
              </w:rPr>
            </w:pPr>
            <w:r w:rsidRPr="0099281A">
              <w:rPr>
                <w:sz w:val="26"/>
                <w:szCs w:val="26"/>
              </w:rPr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 w:rsidR="007E3474"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Участь у роботі сесії міської ради, постійних комісіях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6F2757" w:rsidRDefault="006F2757" w:rsidP="00C8214C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0"/>
        <w:gridCol w:w="6831"/>
      </w:tblGrid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ветерана. Міжнародний день громадян похилого віку;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81C59">
              <w:rPr>
                <w:sz w:val="26"/>
                <w:szCs w:val="26"/>
              </w:rPr>
              <w:t xml:space="preserve">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освіти;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юриста;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9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пошти;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10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стандартизації та метрології;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11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державної санітарно-епідеміологічної служби. День художника;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14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українського козацтва. День захисника України;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боротьби з бідністю. День працівників целюлозно-паперової промисловості;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харчової промисловості;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24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Організації Об’єднаних Націй;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25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автомобіліста і дорожника;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визволення України від фашистських загарбників;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соціальної сфери;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9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української писемності та мови;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15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сільського господарства;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16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радіо, телебачення та зв’язку;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студента;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19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гідрометеорологічної служби;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21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телебачення. День гідності та свободи;</w:t>
            </w:r>
          </w:p>
        </w:tc>
      </w:tr>
      <w:tr w:rsidR="006F2757" w:rsidRPr="00381C59" w:rsidTr="008850F1">
        <w:trPr>
          <w:trHeight w:val="70"/>
        </w:trPr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28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пам’яті жертв голодоморів;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боротьби зі СНІДом. День працівників прокуратури;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3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людей з обмеженими можливостями;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5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статистики;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6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Збройних Сил України;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7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місцевого самоврядування;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10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прав людини;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13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День благодійництва; 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14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вшанування учасників ліквідації наслідків аварії на Чорнобильській АЕС;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15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суду;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державної виконавчої служби;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19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адвокатури;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20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поліції;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22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енергетика;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24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архівних установ.</w:t>
            </w:r>
          </w:p>
        </w:tc>
      </w:tr>
    </w:tbl>
    <w:p w:rsidR="007E3474" w:rsidRDefault="007E3474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BB" w:rsidRDefault="009333BB">
      <w:r>
        <w:separator/>
      </w:r>
    </w:p>
  </w:endnote>
  <w:endnote w:type="continuationSeparator" w:id="1">
    <w:p w:rsidR="009333BB" w:rsidRDefault="0093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374829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54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43D" w:rsidRDefault="003D543D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3D543D" w:rsidP="00D36785">
    <w:pPr>
      <w:pStyle w:val="a4"/>
      <w:framePr w:wrap="around" w:vAnchor="text" w:hAnchor="margin" w:xAlign="right" w:y="1"/>
      <w:rPr>
        <w:rStyle w:val="a5"/>
      </w:rPr>
    </w:pPr>
  </w:p>
  <w:p w:rsidR="003D543D" w:rsidRDefault="003D543D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BB" w:rsidRDefault="009333BB">
      <w:r>
        <w:separator/>
      </w:r>
    </w:p>
  </w:footnote>
  <w:footnote w:type="continuationSeparator" w:id="1">
    <w:p w:rsidR="009333BB" w:rsidRDefault="0093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374829">
    <w:pPr>
      <w:pStyle w:val="a6"/>
      <w:jc w:val="center"/>
    </w:pPr>
    <w:fldSimple w:instr="PAGE   \* MERGEFORMAT">
      <w:r w:rsidR="00900981" w:rsidRPr="00900981">
        <w:rPr>
          <w:noProof/>
          <w:lang w:val="ru-RU"/>
        </w:rPr>
        <w:t>2</w:t>
      </w:r>
    </w:fldSimple>
  </w:p>
  <w:p w:rsidR="003D543D" w:rsidRDefault="003D54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3712"/>
    <w:rsid w:val="00044AC8"/>
    <w:rsid w:val="000534F7"/>
    <w:rsid w:val="00070EE9"/>
    <w:rsid w:val="00073409"/>
    <w:rsid w:val="00093C58"/>
    <w:rsid w:val="000A100D"/>
    <w:rsid w:val="000A4AE5"/>
    <w:rsid w:val="000B2F24"/>
    <w:rsid w:val="000B4011"/>
    <w:rsid w:val="000D6462"/>
    <w:rsid w:val="000E6130"/>
    <w:rsid w:val="000F182A"/>
    <w:rsid w:val="000F5718"/>
    <w:rsid w:val="0010204B"/>
    <w:rsid w:val="001050B4"/>
    <w:rsid w:val="00115FF4"/>
    <w:rsid w:val="00122BD3"/>
    <w:rsid w:val="00137781"/>
    <w:rsid w:val="00150E61"/>
    <w:rsid w:val="00151E8B"/>
    <w:rsid w:val="001A0589"/>
    <w:rsid w:val="001A3617"/>
    <w:rsid w:val="001C5432"/>
    <w:rsid w:val="001F0476"/>
    <w:rsid w:val="002068A9"/>
    <w:rsid w:val="0021503F"/>
    <w:rsid w:val="00230C56"/>
    <w:rsid w:val="002479BA"/>
    <w:rsid w:val="002503AE"/>
    <w:rsid w:val="0025247B"/>
    <w:rsid w:val="002548A5"/>
    <w:rsid w:val="00262259"/>
    <w:rsid w:val="00266FCE"/>
    <w:rsid w:val="002A2840"/>
    <w:rsid w:val="002A3A77"/>
    <w:rsid w:val="002C2679"/>
    <w:rsid w:val="002D28D7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87D71"/>
    <w:rsid w:val="00390251"/>
    <w:rsid w:val="003918BD"/>
    <w:rsid w:val="00396503"/>
    <w:rsid w:val="003B50A3"/>
    <w:rsid w:val="003C3F91"/>
    <w:rsid w:val="003D543D"/>
    <w:rsid w:val="003E7E9A"/>
    <w:rsid w:val="003F467C"/>
    <w:rsid w:val="003F6207"/>
    <w:rsid w:val="00411932"/>
    <w:rsid w:val="004125E8"/>
    <w:rsid w:val="004133F4"/>
    <w:rsid w:val="00416663"/>
    <w:rsid w:val="00435DCC"/>
    <w:rsid w:val="00437ABD"/>
    <w:rsid w:val="004412FE"/>
    <w:rsid w:val="004439B8"/>
    <w:rsid w:val="0045454D"/>
    <w:rsid w:val="004560CB"/>
    <w:rsid w:val="0046162D"/>
    <w:rsid w:val="00492E2A"/>
    <w:rsid w:val="00494ED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6B27"/>
    <w:rsid w:val="00571318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15B5D"/>
    <w:rsid w:val="00633FE7"/>
    <w:rsid w:val="00642CAB"/>
    <w:rsid w:val="006456A9"/>
    <w:rsid w:val="006464EA"/>
    <w:rsid w:val="006527B5"/>
    <w:rsid w:val="006601E2"/>
    <w:rsid w:val="006907C0"/>
    <w:rsid w:val="006B0505"/>
    <w:rsid w:val="006B1B6A"/>
    <w:rsid w:val="006E00FA"/>
    <w:rsid w:val="006E303E"/>
    <w:rsid w:val="006F02F6"/>
    <w:rsid w:val="006F2757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93686"/>
    <w:rsid w:val="007A3EA3"/>
    <w:rsid w:val="007B71B7"/>
    <w:rsid w:val="007C03A5"/>
    <w:rsid w:val="007D3B5C"/>
    <w:rsid w:val="007D58F6"/>
    <w:rsid w:val="007E3474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2345"/>
    <w:rsid w:val="0099157B"/>
    <w:rsid w:val="0099281A"/>
    <w:rsid w:val="009A1492"/>
    <w:rsid w:val="009C0514"/>
    <w:rsid w:val="009C2D2C"/>
    <w:rsid w:val="009D1612"/>
    <w:rsid w:val="009E3E94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4FDD"/>
    <w:rsid w:val="00A6446C"/>
    <w:rsid w:val="00A6573C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5605"/>
    <w:rsid w:val="00BC4B58"/>
    <w:rsid w:val="00BD0967"/>
    <w:rsid w:val="00BE505D"/>
    <w:rsid w:val="00BF672B"/>
    <w:rsid w:val="00C0152C"/>
    <w:rsid w:val="00C015DB"/>
    <w:rsid w:val="00C3557C"/>
    <w:rsid w:val="00C36115"/>
    <w:rsid w:val="00C40B55"/>
    <w:rsid w:val="00C4235D"/>
    <w:rsid w:val="00C43845"/>
    <w:rsid w:val="00C71EAD"/>
    <w:rsid w:val="00C72C31"/>
    <w:rsid w:val="00C8214C"/>
    <w:rsid w:val="00CA06E4"/>
    <w:rsid w:val="00CA45FE"/>
    <w:rsid w:val="00CB5CA4"/>
    <w:rsid w:val="00CC2865"/>
    <w:rsid w:val="00CC7BBA"/>
    <w:rsid w:val="00CD223B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785"/>
    <w:rsid w:val="00D37787"/>
    <w:rsid w:val="00D548B2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70139"/>
    <w:rsid w:val="00E742FC"/>
    <w:rsid w:val="00E93068"/>
    <w:rsid w:val="00EB35E2"/>
    <w:rsid w:val="00EB38C6"/>
    <w:rsid w:val="00ED457A"/>
    <w:rsid w:val="00EE16EC"/>
    <w:rsid w:val="00EE2C09"/>
    <w:rsid w:val="00F0292E"/>
    <w:rsid w:val="00F0722E"/>
    <w:rsid w:val="00F30CE5"/>
    <w:rsid w:val="00F35DF8"/>
    <w:rsid w:val="00F564E9"/>
    <w:rsid w:val="00F605E1"/>
    <w:rsid w:val="00F91701"/>
    <w:rsid w:val="00F93470"/>
    <w:rsid w:val="00F9485B"/>
    <w:rsid w:val="00F95A42"/>
    <w:rsid w:val="00FA71E3"/>
    <w:rsid w:val="00FA7764"/>
    <w:rsid w:val="00FB0F2A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1381-3425-45F1-BBBD-61006588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8861</Words>
  <Characters>5052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13886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2017-09-14T07:32:00Z</cp:lastPrinted>
  <dcterms:created xsi:type="dcterms:W3CDTF">2017-09-20T09:41:00Z</dcterms:created>
  <dcterms:modified xsi:type="dcterms:W3CDTF">2017-09-21T06:28:00Z</dcterms:modified>
</cp:coreProperties>
</file>